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12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Информация относно прилагането на Регламент (ЕС) 2019/2088 на Европейския парламент и на Съвета от 27 ноември 2019 г. относно оповестяването на информация във връзка с устойчивостта в сектора на финансовите услуги (Регламента).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Съгласно дефиницията в Регламент (ЕС) 2019/2088, </w:t>
      </w:r>
      <w:r w:rsidDel="00000000" w:rsidR="00000000" w:rsidRPr="00000000">
        <w:rPr>
          <w:b w:val="1"/>
          <w:bCs w:val="1"/>
          <w:rtl w:val="0"/>
        </w:rPr>
        <w:t xml:space="preserve">„устойчива инвестиция“</w:t>
      </w:r>
      <w:r w:rsidDel="00000000" w:rsidR="00000000" w:rsidRPr="00000000">
        <w:rPr>
          <w:rtl w:val="0"/>
        </w:rPr>
        <w:t xml:space="preserve"> означава инвестиция в стопанска дейност, която допринася за постигането на екологична цел, измерима чрез ключови показатели за ресурсна ефективност (напр. използване на енергия, възобновяеми източници, суровини, вода и земя), ефективност при управлението на отпадъците, намаляване на емисиите на парникови газове или опазване на биологичното разнообразие и кръговата икономика. Понятието включва и инвестиции в дейности, допринасящи за социални цели – по-специално такива, които адресират неравенството, насърчават социалното сближаване, интеграцията и трудовите правоотношения, както и инвестиции в човешки капитал или общности в неравностойно положение. Задължително условие е тези инвестиции да не засягат значително нито една от посочените цели, а дружествата, в които се инвестира, да прилагат добри управленски практики, особено по отношение на стабилни структури на управление, коректни отношения със служителите, адекватно възнаграждение на персонала и спазване на данъчното законодателство.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„Риск за устойчивостта“</w:t>
      </w:r>
      <w:r w:rsidDel="00000000" w:rsidR="00000000" w:rsidRPr="00000000">
        <w:rPr>
          <w:rtl w:val="0"/>
        </w:rPr>
        <w:t xml:space="preserve"> означава събитие или условие от екологично, социално или управленско естество, което, в случай на настъпване, би могло да има съществено отрицателно въздействие върху стойността на инвестициите.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Регламентът обхваща специфични финансови продукти и се прилага спрямо техните създатели и инвестиционни съветници, установени в ЕС – в частност инвестиционни посредници, които предоставят услуги по управление на портфейл или инвестиционни консултации.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Към настоящия момент </w:t>
      </w:r>
      <w:r w:rsidDel="00000000" w:rsidR="00000000" w:rsidRPr="00000000">
        <w:rPr>
          <w:b w:val="1"/>
          <w:bCs w:val="1"/>
          <w:rtl w:val="0"/>
        </w:rPr>
        <w:t xml:space="preserve">„Глобал Клиринг Хаус“ ООД</w:t>
      </w:r>
      <w:r w:rsidDel="00000000" w:rsidR="00000000" w:rsidRPr="00000000">
        <w:rPr>
          <w:rtl w:val="0"/>
        </w:rPr>
        <w:t xml:space="preserve"> не предоставя нито една от горепосочените услуги и съответно не попада в обхвата на задължените лица по Регламент (ЕС) 2019/2088.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Независимо от това, ние от </w:t>
      </w:r>
      <w:r w:rsidDel="00000000" w:rsidR="00000000" w:rsidRPr="00000000">
        <w:rPr>
          <w:b w:val="1"/>
          <w:bCs w:val="1"/>
          <w:rtl w:val="0"/>
        </w:rPr>
        <w:t xml:space="preserve">„Глобал Клиринг Хаус“ ООД</w:t>
      </w:r>
      <w:r w:rsidDel="00000000" w:rsidR="00000000" w:rsidRPr="00000000">
        <w:rPr>
          <w:rtl w:val="0"/>
        </w:rPr>
        <w:t xml:space="preserve">, в качеството си на участник на финансовите пазари, споделяме мисията за засилване на глобалния отговор на изменението на климата. Стремим се да привеждаме финансовите потоци в съответствие с прехода към ниски нива на парникови емисии и устойчиво развитие. В подкрепа на целите на Парижкото споразумение за ограничаване на покачването на средната глобална температура под 2°C (и усилията за ограничаването му до 1,5°C) спрямо прединдустриалните равнища, ние заявяваме своята ангажираност в процеса на нашата дейност. Това включва отчитане на неблагоприятните въздействия върху устойчивостта, придържане към целите за устойчиви инвестиции и интегриране на рисковете за устойчивостта в нашата политика за управление на риска.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Прозрачност по отношение на неблагоприятните въздействия върху устойчивостта на равнище субект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Декларация на </w:t>
      </w:r>
      <w:r w:rsidDel="00000000" w:rsidR="00000000" w:rsidRPr="00000000">
        <w:rPr>
          <w:b w:val="1"/>
          <w:bCs w:val="1"/>
          <w:rtl w:val="0"/>
        </w:rPr>
        <w:t xml:space="preserve">„Глобал Клиринг Хаус“ ООД</w:t>
      </w:r>
      <w:r w:rsidDel="00000000" w:rsidR="00000000" w:rsidRPr="00000000">
        <w:rPr>
          <w:rtl w:val="0"/>
        </w:rPr>
        <w:t xml:space="preserve"> за неотчитане на неблагоприятните въздействия на инвестиционните решения върху факторите на устойчивост: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Съгласно чл. 4, параграф 1, буква „б“ от Регламента, </w:t>
      </w:r>
      <w:r w:rsidDel="00000000" w:rsidR="00000000" w:rsidRPr="00000000">
        <w:rPr>
          <w:b w:val="1"/>
          <w:bCs w:val="1"/>
          <w:rtl w:val="0"/>
        </w:rPr>
        <w:t xml:space="preserve">„Глобал Клиринг Хаус“ ООД</w:t>
      </w:r>
      <w:r w:rsidDel="00000000" w:rsidR="00000000" w:rsidRPr="00000000">
        <w:rPr>
          <w:rtl w:val="0"/>
        </w:rPr>
        <w:t xml:space="preserve"> не отчита неблагоприятните въздействия на инвестиционните решения върху факторите на устойчивост, доколкото това съответства на неговите текущи инвестиционни цели, стратегии и политики.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Причините за това решение към момента включват: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Ограничен достъп до качествена и достоверна информация на ниво емитенти;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Липса на достатъчно относима информация, оповестявана от самите емитенти;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Недостиг на консистентна публична информация за продължителен период от време от независими, международно признати източници;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Непропорционално високи разходи за придобиване на специализирани пакети от данни спрямо мащаба на дейността на Дружеството;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Необходимост от технологично преструктуриране и въвеждане на нови вътрешни политики за правилно прилагане на регулациите;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Продължаващият процес по разработване и дефиниране на единната европейска правна рамка относно оповестяването на информация за устойчивост от участниците на финансовите пазари.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Изявление от „Глобал Клиринг Хаус“ ООД за интегриране на риска за устойчивостта в инвестиционните решения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Съгласно дефиницията в Регламент (ЕС) 2019/2088, </w:t>
      </w:r>
      <w:r w:rsidDel="00000000" w:rsidR="00000000" w:rsidRPr="00000000">
        <w:rPr>
          <w:b w:val="1"/>
          <w:bCs w:val="1"/>
          <w:rtl w:val="0"/>
        </w:rPr>
        <w:t xml:space="preserve">„устойчива инвестиция“</w:t>
      </w:r>
      <w:r w:rsidDel="00000000" w:rsidR="00000000" w:rsidRPr="00000000">
        <w:rPr>
          <w:rtl w:val="0"/>
        </w:rPr>
        <w:t xml:space="preserve"> означава инвестиция в стопанска дейност, допринасяща за екологична цел (измерима чрез показатели за енергийна ефективност, възобновяема енергия, използване на ресурси, опазване на почви и води, намаляване на отпадъци и емисии) или за социална цел (преодоляване на неравенството, социална интеграция и трудови отношения). Това включва и инвестиции в човешки капитал или уязвими общности, при условие че не се вреди значително на останалите цели и се спазват добрите управленски практики по отношение на фирмените структури, персонала и данъчната етика.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„Риск за устойчивостта“</w:t>
      </w:r>
      <w:r w:rsidDel="00000000" w:rsidR="00000000" w:rsidRPr="00000000">
        <w:rPr>
          <w:rtl w:val="0"/>
        </w:rPr>
        <w:t xml:space="preserve"> е екологично, социално или управленско събитие, което би могло да окаже съществено негативно влияние върху стойността на активите.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Регламентът е насочен към финансови продукти и техните създатели/съветници в ЕС, по-конкретно инвестиционни посредници, извършващи управление на портфейл или предоставящи съвети.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Към момента </w:t>
      </w:r>
      <w:r w:rsidDel="00000000" w:rsidR="00000000" w:rsidRPr="00000000">
        <w:rPr>
          <w:b w:val="1"/>
          <w:bCs w:val="1"/>
          <w:rtl w:val="0"/>
        </w:rPr>
        <w:t xml:space="preserve">„Глобал Клиринг Хаус“ ООД</w:t>
      </w:r>
      <w:r w:rsidDel="00000000" w:rsidR="00000000" w:rsidRPr="00000000">
        <w:rPr>
          <w:rtl w:val="0"/>
        </w:rPr>
        <w:t xml:space="preserve"> не предоставя тези услуги и не е сред задължените лица по Регламент (ЕС) 2019/2088. Въпреки това, ние от </w:t>
      </w:r>
      <w:r w:rsidDel="00000000" w:rsidR="00000000" w:rsidRPr="00000000">
        <w:rPr>
          <w:b w:val="1"/>
          <w:bCs w:val="1"/>
          <w:rtl w:val="0"/>
        </w:rPr>
        <w:t xml:space="preserve">„Глобал Клиринг Хаус“ ООД</w:t>
      </w:r>
      <w:r w:rsidDel="00000000" w:rsidR="00000000" w:rsidRPr="00000000">
        <w:rPr>
          <w:rtl w:val="0"/>
        </w:rPr>
        <w:t xml:space="preserve"> подкрепяме глобалните усилия за борба с климатичните промени съгласно Парижкото споразумение и се стремим да насочваме финансовите потоци към икономика с ниски въглеродни емисии. В тази връзка поемаме ангажимент да интегрираме рисковете за устойчивостта в нашите политики и да отчитаме потенциалните неблагоприятни въздействия в хода на нашата дейност.</w:t>
      </w:r>
    </w:p>
    <w:p w:rsidR="00000000" w:rsidDel="00000000" w:rsidP="00000000" w:rsidRDefault="00000000" w:rsidRPr="00000000" w14:paraId="00000016">
      <w:pPr>
        <w:spacing w:after="120" w:lineRule="auto"/>
        <w:ind w:right="1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bg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aliases w:val="Table of contents numbered,List_Paragraph,Multilevel para_II,List Paragraph1,List Paragraph 1 Char,List Paragraph 1,En tête 1,Table/Figure Heading,ФМФИБ Level 1,Heading 2_sj,Számozott lista 1,LISTA,Listaszerű bekezdés1,Dot pt,No Spacing1"/>
    <w:basedOn w:val="Normal"/>
    <w:link w:val="ListParagraphChar"/>
    <w:uiPriority w:val="34"/>
    <w:qFormat w:val="1"/>
    <w:rsid w:val="00A95F36"/>
    <w:pPr>
      <w:spacing w:after="200" w:line="276" w:lineRule="auto"/>
      <w:ind w:left="720"/>
      <w:contextualSpacing w:val="1"/>
    </w:pPr>
    <w:rPr>
      <w:rFonts w:cs="Arial"/>
      <w:sz w:val="22"/>
      <w:szCs w:val="22"/>
    </w:rPr>
  </w:style>
  <w:style w:type="character" w:styleId="ListParagraphChar" w:customStyle="1">
    <w:name w:val="List Paragraph Char"/>
    <w:aliases w:val="Table of contents numbered Char,List_Paragraph Char,Multilevel para_II Char,List Paragraph1 Char,List Paragraph 1 Char Char,List Paragraph 1 Char1,En tête 1 Char,Table/Figure Heading Char,ФМФИБ Level 1 Char,Heading 2_sj Char"/>
    <w:link w:val="ListParagraph"/>
    <w:uiPriority w:val="34"/>
    <w:rsid w:val="00A95F36"/>
    <w:rPr>
      <w:rFonts w:ascii="Arial" w:cs="Arial" w:eastAsia="SimSun" w:hAnsi="Arial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KS6FtV58cmed8Olz09SR1njKw==">CgMxLjA4AHIhMVprenB0QmZub3hPV1RyQjlwTmlySUdhUHVYSU8yUnRU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2026-03-29T17:32:00Z</dcterms:created>
  <dc:creator>Zlatka</dc:creator>
</cp:coreProperties>
</file>